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r w:rsidRPr="000339C9">
        <w:rPr>
          <w:rFonts w:hAnsi="Calibri" w:cs="Calibri"/>
          <w:color w:val="000000"/>
          <w:sz w:val="24"/>
        </w:rPr>
        <w:t>Akceptuję</w:t>
      </w:r>
    </w:p>
    <w:p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="0062179E"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B1954" w:rsidRDefault="0002159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859E3" w:rsidRPr="000339C9" w:rsidRDefault="00021590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</w:t>
      </w:r>
      <w:r w:rsidRPr="000339C9">
        <w:rPr>
          <w:rFonts w:eastAsia="Times New Roman" w:hAnsi="Calibri" w:cs="Calibri"/>
          <w:sz w:val="24"/>
          <w:szCs w:val="24"/>
        </w:rPr>
        <w:lastRenderedPageBreak/>
        <w:t>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Limit usług opieki wytchnieniowej finansowanych ze środków Funduszu Solidarnościowego przypadających na 1 uczestnika wynosi nie więcej niż:</w:t>
      </w:r>
    </w:p>
    <w:p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2) miejsca, o którym mowa w ust. 5 pkt 1 lit. c oraz ust. 5 pkt 2 lit. c, z zastrzeżeniem iż wskazane miejsce otrzyma pozytywną opinię gminy/powiatu.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r w:rsidR="00416793" w:rsidRPr="000339C9">
        <w:rPr>
          <w:rFonts w:hAnsi="Calibri" w:cs="Calibri"/>
          <w:sz w:val="24"/>
          <w:szCs w:val="24"/>
        </w:rPr>
        <w:t>wytchnieniowej,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wytchnieniowej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wytchnieniowej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>, z późn.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wytchnieniowej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:rsidR="00B240C2" w:rsidRPr="000339C9" w:rsidRDefault="00B240C2" w:rsidP="00E22361">
      <w:pPr>
        <w:rPr>
          <w:rFonts w:hAnsi="Calibri" w:cs="Calibri"/>
        </w:rPr>
      </w:pPr>
    </w:p>
    <w:p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>Kosztami niekwalifikowanymi zadania (w przypadku jednostek samorządu terytorialnego − wydatkami) są: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kary i grzywny;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lastRenderedPageBreak/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>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:rsidR="006E6C5E" w:rsidRPr="000339C9" w:rsidRDefault="006E6C5E" w:rsidP="00F90740">
      <w:pPr>
        <w:rPr>
          <w:rFonts w:hAnsi="Calibri" w:cs="Calibri"/>
          <w:sz w:val="20"/>
        </w:rPr>
      </w:pPr>
    </w:p>
    <w:p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bookmarkStart w:id="16" w:name="_GoBack"/>
      <w:bookmarkEnd w:id="16"/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:rsidR="00A8165F" w:rsidRDefault="00A8165F" w:rsidP="00F90740">
      <w:pPr>
        <w:rPr>
          <w:rFonts w:hAnsi="Calibri" w:cs="Calibri"/>
          <w:sz w:val="20"/>
        </w:rPr>
      </w:pPr>
    </w:p>
    <w:p w:rsidR="00AB1954" w:rsidRPr="000339C9" w:rsidRDefault="00AB1954" w:rsidP="00F90740">
      <w:pPr>
        <w:rPr>
          <w:rFonts w:hAnsi="Calibri" w:cs="Calibri"/>
          <w:sz w:val="20"/>
        </w:rPr>
      </w:pPr>
    </w:p>
    <w:p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 w:rsidSect="00021590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71" w:rsidRDefault="00C12971">
      <w:pPr>
        <w:spacing w:after="0" w:line="240" w:lineRule="auto"/>
      </w:pPr>
      <w:r>
        <w:separator/>
      </w:r>
    </w:p>
  </w:endnote>
  <w:endnote w:type="continuationSeparator" w:id="0">
    <w:p w:rsidR="00C12971" w:rsidRDefault="00C12971">
      <w:pPr>
        <w:spacing w:after="0" w:line="240" w:lineRule="auto"/>
      </w:pPr>
      <w:r>
        <w:continuationSeparator/>
      </w:r>
    </w:p>
  </w:endnote>
  <w:endnote w:type="continuationNotice" w:id="1">
    <w:p w:rsidR="00C12971" w:rsidRDefault="00C1297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FC" w:rsidRDefault="00021590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 w:rsidR="009B0DFC"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8811B9">
      <w:rPr>
        <w:rFonts w:ascii="Times New Roman" w:hAnsi="Times New Roman"/>
        <w:noProof/>
        <w:color w:val="000000"/>
      </w:rPr>
      <w:t>25</w:t>
    </w:r>
    <w:r>
      <w:rPr>
        <w:rFonts w:ascii="Times New Roman" w:hAnsi="Times New Roman"/>
        <w:color w:val="000000"/>
      </w:rPr>
      <w:fldChar w:fldCharType="end"/>
    </w:r>
  </w:p>
  <w:p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71" w:rsidRDefault="00C12971">
      <w:pPr>
        <w:spacing w:after="0" w:line="240" w:lineRule="auto"/>
      </w:pPr>
      <w:r>
        <w:separator/>
      </w:r>
    </w:p>
  </w:footnote>
  <w:footnote w:type="continuationSeparator" w:id="0">
    <w:p w:rsidR="00C12971" w:rsidRDefault="00C12971">
      <w:pPr>
        <w:spacing w:after="0" w:line="240" w:lineRule="auto"/>
      </w:pPr>
      <w:r>
        <w:continuationSeparator/>
      </w:r>
    </w:p>
  </w:footnote>
  <w:footnote w:type="continuationNotice" w:id="1">
    <w:p w:rsidR="00C12971" w:rsidRDefault="00C12971">
      <w:pPr>
        <w:spacing w:after="0" w:line="240" w:lineRule="auto"/>
      </w:pPr>
    </w:p>
  </w:footnote>
  <w:footnote w:id="2">
    <w:p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590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11B9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297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021590"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rsid w:val="00021590"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rsid w:val="00021590"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rsid w:val="00021590"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021590"/>
    <w:rPr>
      <w:i/>
      <w:sz w:val="20"/>
    </w:rPr>
  </w:style>
  <w:style w:type="character" w:styleId="Pogrubienie">
    <w:name w:val="Strong"/>
    <w:qFormat/>
    <w:rsid w:val="00021590"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021590"/>
  </w:style>
  <w:style w:type="paragraph" w:styleId="Stopka">
    <w:name w:val="footer"/>
    <w:basedOn w:val="Normalny"/>
    <w:rsid w:val="00021590"/>
    <w:pPr>
      <w:spacing w:after="0" w:line="240" w:lineRule="auto"/>
    </w:pPr>
  </w:style>
  <w:style w:type="character" w:customStyle="1" w:styleId="StopkaZnak">
    <w:name w:val="Stopka Znak"/>
    <w:rsid w:val="00021590"/>
    <w:rPr>
      <w:sz w:val="20"/>
    </w:rPr>
  </w:style>
  <w:style w:type="paragraph" w:styleId="Tekstprzypisudolnego">
    <w:name w:val="footnote text"/>
    <w:basedOn w:val="Normalny"/>
    <w:next w:val="Akapitzlist"/>
    <w:rsid w:val="00021590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sid w:val="00021590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21590"/>
    <w:rPr>
      <w:sz w:val="20"/>
    </w:rPr>
  </w:style>
  <w:style w:type="character" w:styleId="Odwoaniedokomentarza">
    <w:name w:val="annotation reference"/>
    <w:rsid w:val="00021590"/>
    <w:rPr>
      <w:sz w:val="20"/>
    </w:rPr>
  </w:style>
  <w:style w:type="paragraph" w:styleId="Tekstkomentarza">
    <w:name w:val="annotation text"/>
    <w:basedOn w:val="Normalny"/>
    <w:uiPriority w:val="99"/>
    <w:rsid w:val="00021590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sid w:val="00021590"/>
    <w:rPr>
      <w:sz w:val="20"/>
    </w:rPr>
  </w:style>
  <w:style w:type="character" w:customStyle="1" w:styleId="highlight">
    <w:name w:val="highlight"/>
    <w:rsid w:val="00021590"/>
    <w:rPr>
      <w:sz w:val="20"/>
    </w:rPr>
  </w:style>
  <w:style w:type="paragraph" w:styleId="Tekstdymka">
    <w:name w:val="Balloon Text"/>
    <w:basedOn w:val="Normalny"/>
    <w:next w:val="Tekstkomentarza"/>
    <w:semiHidden/>
    <w:rsid w:val="00021590"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sid w:val="00021590"/>
    <w:rPr>
      <w:sz w:val="20"/>
    </w:rPr>
  </w:style>
  <w:style w:type="paragraph" w:styleId="Nagwek">
    <w:name w:val="header"/>
    <w:basedOn w:val="Normalny"/>
    <w:next w:val="Tekstdymka"/>
    <w:rsid w:val="00021590"/>
  </w:style>
  <w:style w:type="character" w:customStyle="1" w:styleId="NagwekZnak">
    <w:name w:val="Nagłówek Znak"/>
    <w:rsid w:val="00021590"/>
    <w:rPr>
      <w:sz w:val="20"/>
    </w:rPr>
  </w:style>
  <w:style w:type="paragraph" w:styleId="Tekstprzypisukocowego">
    <w:name w:val="endnote text"/>
    <w:basedOn w:val="Normalny"/>
    <w:next w:val="Nagwek"/>
    <w:semiHidden/>
    <w:rsid w:val="00021590"/>
    <w:rPr>
      <w:sz w:val="20"/>
    </w:rPr>
  </w:style>
  <w:style w:type="character" w:customStyle="1" w:styleId="TekstprzypisukocowegoZnak">
    <w:name w:val="Tekst przypisu końcowego Znak"/>
    <w:semiHidden/>
    <w:rsid w:val="00021590"/>
    <w:rPr>
      <w:sz w:val="20"/>
    </w:rPr>
  </w:style>
  <w:style w:type="character" w:styleId="Odwoanieprzypisukocowego">
    <w:name w:val="endnote reference"/>
    <w:semiHidden/>
    <w:rsid w:val="00021590"/>
    <w:rPr>
      <w:sz w:val="20"/>
    </w:rPr>
  </w:style>
  <w:style w:type="paragraph" w:customStyle="1" w:styleId="AW-wstp">
    <w:name w:val="AW-wstęp"/>
    <w:basedOn w:val="Normalny"/>
    <w:rsid w:val="00021590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rsid w:val="00021590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sid w:val="00021590"/>
    <w:rPr>
      <w:color w:val="C00000"/>
      <w:sz w:val="20"/>
    </w:rPr>
  </w:style>
  <w:style w:type="character" w:customStyle="1" w:styleId="Nagwek1Znak">
    <w:name w:val="Nagłówek 1 Znak"/>
    <w:rsid w:val="00021590"/>
    <w:rPr>
      <w:b/>
      <w:sz w:val="20"/>
    </w:rPr>
  </w:style>
  <w:style w:type="character" w:customStyle="1" w:styleId="AW-tyturozdziauZnak">
    <w:name w:val="AW-tytuł rozdziału Znak"/>
    <w:rsid w:val="00021590"/>
    <w:rPr>
      <w:color w:val="C00000"/>
      <w:sz w:val="20"/>
    </w:rPr>
  </w:style>
  <w:style w:type="character" w:customStyle="1" w:styleId="Nagwek2Znak">
    <w:name w:val="Nagłówek 2 Znak"/>
    <w:rsid w:val="00021590"/>
    <w:rPr>
      <w:b/>
      <w:i/>
      <w:sz w:val="20"/>
    </w:rPr>
  </w:style>
  <w:style w:type="character" w:customStyle="1" w:styleId="Nagwek3Znak">
    <w:name w:val="Nagłówek 3 Znak"/>
    <w:rsid w:val="00021590"/>
    <w:rPr>
      <w:b/>
      <w:sz w:val="20"/>
    </w:rPr>
  </w:style>
  <w:style w:type="paragraph" w:styleId="Spistreci1">
    <w:name w:val="toc 1"/>
    <w:basedOn w:val="Normalny"/>
    <w:next w:val="Normalny"/>
    <w:uiPriority w:val="39"/>
    <w:rsid w:val="00021590"/>
    <w:pPr>
      <w:spacing w:before="120" w:after="120" w:line="360" w:lineRule="auto"/>
      <w:jc w:val="both"/>
    </w:pPr>
  </w:style>
  <w:style w:type="character" w:styleId="Hipercze">
    <w:name w:val="Hyperlink"/>
    <w:uiPriority w:val="99"/>
    <w:rsid w:val="00021590"/>
    <w:rPr>
      <w:color w:val="0000FF"/>
      <w:sz w:val="20"/>
      <w:u w:val="single"/>
    </w:rPr>
  </w:style>
  <w:style w:type="paragraph" w:styleId="Tematkomentarza">
    <w:name w:val="annotation subject"/>
    <w:semiHidden/>
    <w:rsid w:val="00021590"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sid w:val="00021590"/>
    <w:rPr>
      <w:b/>
      <w:sz w:val="20"/>
    </w:rPr>
  </w:style>
  <w:style w:type="paragraph" w:styleId="Nagwekspisutreci">
    <w:name w:val="TOC Heading"/>
    <w:basedOn w:val="Nagwek1"/>
    <w:next w:val="Normalny"/>
    <w:qFormat/>
    <w:rsid w:val="00021590"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rsid w:val="00021590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rsid w:val="00021590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rsid w:val="00021590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rsid w:val="00021590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rsid w:val="00021590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sid w:val="00021590"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4702-98F7-4B07-96F5-104C6310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6426</Words>
  <Characters>38562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44899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creator>El?bieta Gimlewicz</dc:creator>
  <cp:lastModifiedBy>akaluza</cp:lastModifiedBy>
  <cp:revision>2</cp:revision>
  <cp:lastPrinted>2021-09-03T13:06:00Z</cp:lastPrinted>
  <dcterms:created xsi:type="dcterms:W3CDTF">2022-02-09T13:44:00Z</dcterms:created>
  <dcterms:modified xsi:type="dcterms:W3CDTF">2022-02-09T13:44:00Z</dcterms:modified>
</cp:coreProperties>
</file>